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0A92" w14:textId="77777777" w:rsidR="00DA66F6" w:rsidRPr="00C07804" w:rsidRDefault="00DA66F6" w:rsidP="00B33DA4">
      <w:pPr>
        <w:ind w:left="540" w:right="1878"/>
        <w:rPr>
          <w:b/>
          <w:color w:val="AF272F"/>
          <w:sz w:val="44"/>
          <w:szCs w:val="44"/>
          <w:lang w:val="en-AU"/>
        </w:rPr>
      </w:pPr>
      <w:r w:rsidRPr="00C07804">
        <w:rPr>
          <w:b/>
          <w:noProof/>
          <w:color w:val="AF272F"/>
          <w:sz w:val="44"/>
          <w:szCs w:val="44"/>
          <w:lang w:val="en-AU"/>
        </w:rPr>
        <w:t>2026</w:t>
      </w:r>
      <w:r w:rsidRPr="00C0780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3EA75889" wp14:editId="34FC4933">
                <wp:simplePos x="0" y="0"/>
                <wp:positionH relativeFrom="margin">
                  <wp:posOffset>100965</wp:posOffset>
                </wp:positionH>
                <wp:positionV relativeFrom="bottomMargin">
                  <wp:posOffset>-1260475</wp:posOffset>
                </wp:positionV>
                <wp:extent cx="9774000" cy="113400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40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83BB0" w14:textId="77777777" w:rsidR="00DA66F6" w:rsidRDefault="00DA66F6" w:rsidP="00B33DA4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Amanda McLean (School Principal) on 05 February, 2026 at 04:13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>Endorsed by Amadeo Ferra (Senior Education Improvement Leader) on 30 March, 2026 at 08:48 AM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89.29pt;margin-left:7.95pt;margin-top:-99.25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1pt;z-index:-251658240" fillcolor="white" stroked="f" strokeweight="0.75pt">
                <v:stroke joinstyle="miter"/>
                <v:textbox>
                  <w:txbxContent>
                    <w:p w:rsidR="00B33DA4" w:rsidP="00B33DA4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Amanda McLean (School Principal) on 05 February, 2026 at 04:13 PM</w:t>
                        <w:br/>
                        <w:t>Endorsed by Amadeo Ferra (Senior Education Improvement Leader) on 30 March, 2026 at 08:48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C07804">
        <w:rPr>
          <w:b/>
          <w:color w:val="AF272F"/>
          <w:sz w:val="44"/>
          <w:szCs w:val="44"/>
          <w:lang w:val="en-AU"/>
        </w:rPr>
        <w:t xml:space="preserve"> Annual Implementation Plan</w:t>
      </w:r>
    </w:p>
    <w:p w14:paraId="0E0E5DC8" w14:textId="77777777" w:rsidR="00DA66F6" w:rsidRPr="00C07804" w:rsidRDefault="00DA66F6" w:rsidP="00B33DA4">
      <w:pPr>
        <w:ind w:left="540" w:right="1878"/>
        <w:rPr>
          <w:b/>
          <w:color w:val="AF272F"/>
          <w:sz w:val="28"/>
          <w:szCs w:val="44"/>
          <w:lang w:val="en-AU"/>
        </w:rPr>
      </w:pPr>
      <w:r w:rsidRPr="00C07804">
        <w:rPr>
          <w:b/>
          <w:color w:val="AF272F"/>
          <w:sz w:val="28"/>
          <w:szCs w:val="44"/>
          <w:lang w:val="en-AU"/>
        </w:rPr>
        <w:t xml:space="preserve">for improving student outcomes </w:t>
      </w:r>
    </w:p>
    <w:p w14:paraId="583073DB" w14:textId="77777777" w:rsidR="00DA66F6" w:rsidRPr="00C07804" w:rsidRDefault="00DA66F6" w:rsidP="00B33DA4">
      <w:pPr>
        <w:ind w:left="540" w:right="1878"/>
        <w:rPr>
          <w:color w:val="AF272F"/>
          <w:sz w:val="22"/>
          <w:szCs w:val="36"/>
          <w:lang w:val="en-AU"/>
        </w:rPr>
      </w:pPr>
    </w:p>
    <w:p w14:paraId="55D98D39" w14:textId="77777777" w:rsidR="00DA66F6" w:rsidRPr="00C07804" w:rsidRDefault="00DA66F6" w:rsidP="00B33DA4">
      <w:pPr>
        <w:pStyle w:val="ESIntroParagraph"/>
        <w:ind w:left="-567" w:right="978" w:firstLine="1107"/>
        <w:rPr>
          <w:color w:val="595959" w:themeColor="text1" w:themeTint="A6"/>
          <w:lang w:val="en-AU"/>
        </w:rPr>
      </w:pPr>
      <w:r w:rsidRPr="00C07804">
        <w:rPr>
          <w:noProof/>
          <w:color w:val="595959" w:themeColor="text1" w:themeTint="A6"/>
          <w:lang w:val="en-AU"/>
        </w:rPr>
        <w:t>Heatherhill Primary School (4802)</w:t>
      </w:r>
    </w:p>
    <w:p w14:paraId="160B966E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5596C1D1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3965030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088EEC13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6E0355F0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104CB81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7FFFDC51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15B40212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35C01CB8" w14:textId="77777777" w:rsidR="00DA66F6" w:rsidRPr="00C07804" w:rsidRDefault="00DA66F6" w:rsidP="00B33DA4">
      <w:pPr>
        <w:pStyle w:val="ESIntroParagraph"/>
        <w:ind w:left="-567" w:right="4330" w:firstLine="1107"/>
        <w:rPr>
          <w:color w:val="AF272F"/>
          <w:lang w:val="en-AU"/>
        </w:rPr>
      </w:pPr>
    </w:p>
    <w:p w14:paraId="261A90D1" w14:textId="77777777" w:rsidR="00DA66F6" w:rsidRPr="00C07804" w:rsidRDefault="00DA66F6" w:rsidP="00B33DA4">
      <w:pPr>
        <w:pStyle w:val="ESBodyText"/>
        <w:rPr>
          <w:lang w:val="en-AU"/>
        </w:rPr>
      </w:pPr>
    </w:p>
    <w:p w14:paraId="643270D3" w14:textId="77777777" w:rsidR="00DA66F6" w:rsidRPr="00C07804" w:rsidRDefault="00DA66F6" w:rsidP="00B33DA4">
      <w:pPr>
        <w:pStyle w:val="ESBodyText"/>
        <w:jc w:val="center"/>
        <w:rPr>
          <w:lang w:val="en-AU"/>
        </w:rPr>
      </w:pPr>
      <w:r w:rsidRPr="00C07804">
        <w:rPr>
          <w:noProof/>
          <w:sz w:val="44"/>
          <w:szCs w:val="44"/>
          <w:lang w:val="en-AU"/>
        </w:rPr>
        <w:drawing>
          <wp:anchor distT="0" distB="0" distL="114300" distR="114300" simplePos="0" relativeHeight="251660288" behindDoc="1" locked="0" layoutInCell="1" allowOverlap="1" wp14:anchorId="4D9103AA" wp14:editId="4F467E4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572374" cy="3810532"/>
            <wp:effectExtent l="0" t="0" r="0" b="0"/>
            <wp:wrapNone/>
            <wp:docPr id="100011" name="Picture 10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1F32C1" w14:textId="77777777" w:rsidR="00DA66F6" w:rsidRPr="00C07804" w:rsidRDefault="00DA66F6" w:rsidP="00B33DA4">
      <w:pPr>
        <w:pStyle w:val="ESBodyText"/>
        <w:rPr>
          <w:lang w:val="en-AU"/>
        </w:rPr>
      </w:pPr>
    </w:p>
    <w:p w14:paraId="0DEB09BB" w14:textId="77777777" w:rsidR="00DA66F6" w:rsidRPr="00C07804" w:rsidRDefault="00DA66F6" w:rsidP="00F83BD4">
      <w:pPr>
        <w:ind w:right="2759"/>
        <w:rPr>
          <w:lang w:val="en-AU"/>
        </w:rPr>
        <w:sectPr w:rsidR="00C703C5" w:rsidRPr="00C07804" w:rsidSect="002B1BC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004" w:right="737" w:bottom="1304" w:left="561" w:header="624" w:footer="1134" w:gutter="0"/>
          <w:pgNumType w:start="1"/>
          <w:cols w:space="397"/>
          <w:docGrid w:linePitch="360"/>
        </w:sectPr>
      </w:pPr>
    </w:p>
    <w:p w14:paraId="0CE108E7" w14:textId="77777777" w:rsidR="00DA66F6" w:rsidRPr="009B5728" w:rsidRDefault="00DA66F6" w:rsidP="00BF4A78">
      <w:pPr>
        <w:ind w:right="2759"/>
        <w:rPr>
          <w:b/>
          <w:color w:val="AF272F"/>
          <w:sz w:val="36"/>
          <w:szCs w:val="44"/>
          <w:lang w:val="en-AU"/>
        </w:rPr>
      </w:pPr>
      <w:r w:rsidRPr="009B5728">
        <w:rPr>
          <w:b/>
          <w:color w:val="AF272F"/>
          <w:sz w:val="36"/>
          <w:szCs w:val="44"/>
          <w:lang w:val="en-AU"/>
        </w:rPr>
        <w:lastRenderedPageBreak/>
        <w:t xml:space="preserve">Self-evaluation </w:t>
      </w:r>
      <w:r w:rsidRPr="009B5728">
        <w:rPr>
          <w:b/>
          <w:color w:val="AF272F"/>
          <w:sz w:val="36"/>
          <w:szCs w:val="44"/>
          <w:lang w:val="en-AU"/>
        </w:rPr>
        <w:t>s</w:t>
      </w:r>
      <w:r w:rsidRPr="009B5728">
        <w:rPr>
          <w:b/>
          <w:color w:val="AF272F"/>
          <w:sz w:val="36"/>
          <w:szCs w:val="44"/>
          <w:lang w:val="en-AU"/>
        </w:rPr>
        <w:t>ummary</w:t>
      </w:r>
    </w:p>
    <w:p w14:paraId="301F41B6" w14:textId="77777777" w:rsidR="00DA66F6" w:rsidRPr="009B5728" w:rsidRDefault="00DA66F6" w:rsidP="00715EBF">
      <w:pPr>
        <w:pStyle w:val="ESIntroParagraph"/>
        <w:ind w:left="-450" w:right="4330" w:firstLine="450"/>
        <w:rPr>
          <w:color w:val="auto"/>
          <w:sz w:val="18"/>
          <w:szCs w:val="18"/>
          <w:lang w:val="en-AU"/>
        </w:rPr>
      </w:pPr>
    </w:p>
    <w:p w14:paraId="3A28BB02" w14:textId="77777777" w:rsidR="00DA66F6" w:rsidRPr="009B5728" w:rsidRDefault="00DA66F6" w:rsidP="006E1708">
      <w:pPr>
        <w:pStyle w:val="ESBodyText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0"/>
        <w:gridCol w:w="5670"/>
      </w:tblGrid>
      <w:tr w:rsidR="006549CD" w14:paraId="68FA0440" w14:textId="77777777" w:rsidTr="00C51F6B">
        <w:tc>
          <w:tcPr>
            <w:tcW w:w="2122" w:type="dxa"/>
            <w:vMerge w:val="restart"/>
          </w:tcPr>
          <w:p w14:paraId="479B180A" w14:textId="77777777" w:rsidR="00DA66F6" w:rsidRPr="002D77FE" w:rsidRDefault="00DA66F6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bookmarkStart w:id="0" w:name="_Hlk207354264"/>
            <w:r w:rsidRPr="002D77FE">
              <w:rPr>
                <w:b/>
                <w:bCs/>
                <w:sz w:val="20"/>
                <w:szCs w:val="20"/>
                <w:lang w:val="en-AU"/>
              </w:rPr>
              <w:t>FISO 2.0</w:t>
            </w:r>
          </w:p>
          <w:p w14:paraId="23F60915" w14:textId="77777777" w:rsidR="00DA66F6" w:rsidRPr="002D77FE" w:rsidRDefault="00DA66F6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outcomes</w:t>
            </w:r>
          </w:p>
        </w:tc>
        <w:tc>
          <w:tcPr>
            <w:tcW w:w="5670" w:type="dxa"/>
            <w:shd w:val="clear" w:color="auto" w:fill="004C97"/>
          </w:tcPr>
          <w:p w14:paraId="30C72F1D" w14:textId="77777777" w:rsidR="00DA66F6" w:rsidRPr="00C51F6B" w:rsidRDefault="00DA66F6" w:rsidP="00C51F6B">
            <w:pPr>
              <w:pStyle w:val="ESBodyText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51F6B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Learning</w:t>
            </w:r>
          </w:p>
        </w:tc>
        <w:tc>
          <w:tcPr>
            <w:tcW w:w="5670" w:type="dxa"/>
            <w:shd w:val="clear" w:color="auto" w:fill="004C97"/>
          </w:tcPr>
          <w:p w14:paraId="6467461F" w14:textId="77777777" w:rsidR="00DA66F6" w:rsidRPr="00C51F6B" w:rsidRDefault="00DA66F6" w:rsidP="00C51F6B">
            <w:pPr>
              <w:pStyle w:val="ESBodyText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 w:rsidRPr="00C51F6B">
              <w:rPr>
                <w:b/>
                <w:bCs/>
                <w:color w:val="FFFFFF" w:themeColor="background1"/>
                <w:sz w:val="20"/>
                <w:szCs w:val="20"/>
                <w:lang w:val="en-AU"/>
              </w:rPr>
              <w:t>Wellbeing</w:t>
            </w:r>
          </w:p>
        </w:tc>
      </w:tr>
      <w:tr w:rsidR="006549CD" w14:paraId="03284BF3" w14:textId="77777777" w:rsidTr="00CD29F2">
        <w:tc>
          <w:tcPr>
            <w:tcW w:w="2122" w:type="dxa"/>
            <w:vMerge/>
          </w:tcPr>
          <w:p w14:paraId="5A820827" w14:textId="77777777" w:rsidR="00DA66F6" w:rsidRPr="002D77FE" w:rsidRDefault="00DA66F6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</w:tcPr>
          <w:p w14:paraId="497FB881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Embedding</w:t>
            </w:r>
          </w:p>
        </w:tc>
        <w:tc>
          <w:tcPr>
            <w:tcW w:w="5670" w:type="dxa"/>
          </w:tcPr>
          <w:p w14:paraId="43D5FBC3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Excelling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2248"/>
        <w:gridCol w:w="2248"/>
        <w:gridCol w:w="2248"/>
        <w:gridCol w:w="2328"/>
      </w:tblGrid>
      <w:tr w:rsidR="006549CD" w14:paraId="259E1970" w14:textId="77777777" w:rsidTr="004E6386">
        <w:tc>
          <w:tcPr>
            <w:tcW w:w="2122" w:type="dxa"/>
            <w:vMerge w:val="restart"/>
          </w:tcPr>
          <w:bookmarkEnd w:id="0"/>
          <w:p w14:paraId="3BF6502A" w14:textId="77777777" w:rsidR="00DA66F6" w:rsidRPr="002D77FE" w:rsidRDefault="00DA66F6" w:rsidP="004E7357">
            <w:pPr>
              <w:pStyle w:val="ESBodyText"/>
              <w:rPr>
                <w:b/>
                <w:bCs/>
                <w:sz w:val="20"/>
                <w:szCs w:val="20"/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FISO 2.0 core</w:t>
            </w:r>
          </w:p>
          <w:p w14:paraId="736E3F83" w14:textId="77777777" w:rsidR="00DA66F6" w:rsidRDefault="00DA66F6" w:rsidP="004E7357">
            <w:pPr>
              <w:pStyle w:val="ESBodyText"/>
              <w:rPr>
                <w:lang w:val="en-AU"/>
              </w:rPr>
            </w:pPr>
            <w:r w:rsidRPr="002D77FE">
              <w:rPr>
                <w:b/>
                <w:bCs/>
                <w:sz w:val="20"/>
                <w:szCs w:val="20"/>
                <w:lang w:val="en-AU"/>
              </w:rPr>
              <w:t>elements</w:t>
            </w:r>
          </w:p>
        </w:tc>
        <w:tc>
          <w:tcPr>
            <w:tcW w:w="2268" w:type="dxa"/>
            <w:shd w:val="clear" w:color="auto" w:fill="FFD162"/>
          </w:tcPr>
          <w:p w14:paraId="678776C7" w14:textId="77777777" w:rsidR="00DA66F6" w:rsidRPr="00DF6710" w:rsidRDefault="00DA66F6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  <w:lang w:val="en-AU"/>
              </w:rPr>
              <w:t>Leadership</w:t>
            </w:r>
          </w:p>
        </w:tc>
        <w:tc>
          <w:tcPr>
            <w:tcW w:w="2248" w:type="dxa"/>
            <w:shd w:val="clear" w:color="auto" w:fill="58BFBC"/>
          </w:tcPr>
          <w:p w14:paraId="52E4A99A" w14:textId="77777777" w:rsidR="00DA66F6" w:rsidRPr="00DF6710" w:rsidRDefault="00DA66F6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Teaching and learning </w:t>
            </w:r>
          </w:p>
        </w:tc>
        <w:tc>
          <w:tcPr>
            <w:tcW w:w="2248" w:type="dxa"/>
            <w:shd w:val="clear" w:color="auto" w:fill="57B5E8"/>
          </w:tcPr>
          <w:p w14:paraId="294B55B5" w14:textId="77777777" w:rsidR="00DA66F6" w:rsidRPr="00DF6710" w:rsidRDefault="00DA66F6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Assessment </w:t>
            </w:r>
          </w:p>
        </w:tc>
        <w:tc>
          <w:tcPr>
            <w:tcW w:w="2248" w:type="dxa"/>
            <w:shd w:val="clear" w:color="auto" w:fill="F7CDDB"/>
          </w:tcPr>
          <w:p w14:paraId="4A23D5A6" w14:textId="77777777" w:rsidR="00DA66F6" w:rsidRPr="00DF6710" w:rsidRDefault="00DA66F6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Engagement</w:t>
            </w:r>
          </w:p>
        </w:tc>
        <w:tc>
          <w:tcPr>
            <w:tcW w:w="2328" w:type="dxa"/>
            <w:shd w:val="clear" w:color="auto" w:fill="D1ABD0"/>
          </w:tcPr>
          <w:p w14:paraId="5BC8136D" w14:textId="77777777" w:rsidR="00DA66F6" w:rsidRPr="00DF6710" w:rsidRDefault="00DA66F6" w:rsidP="00C51F6B">
            <w:pPr>
              <w:pStyle w:val="ESBodyText"/>
              <w:jc w:val="center"/>
              <w:rPr>
                <w:b/>
                <w:bCs/>
                <w:lang w:val="en-AU"/>
              </w:rPr>
            </w:pPr>
            <w:r w:rsidRPr="00DF6710">
              <w:rPr>
                <w:b/>
                <w:bCs/>
              </w:rPr>
              <w:t>Support and resources </w:t>
            </w:r>
          </w:p>
        </w:tc>
      </w:tr>
      <w:tr w:rsidR="006549CD" w14:paraId="1B47A4FC" w14:textId="77777777" w:rsidTr="00BF4A78">
        <w:tc>
          <w:tcPr>
            <w:tcW w:w="2122" w:type="dxa"/>
            <w:vMerge/>
          </w:tcPr>
          <w:p w14:paraId="3D429330" w14:textId="77777777" w:rsidR="00DA66F6" w:rsidRDefault="00DA66F6" w:rsidP="004E7357">
            <w:pPr>
              <w:pStyle w:val="ESBodyText"/>
              <w:rPr>
                <w:lang w:val="en-AU"/>
              </w:rPr>
            </w:pPr>
          </w:p>
        </w:tc>
        <w:tc>
          <w:tcPr>
            <w:tcW w:w="2268" w:type="dxa"/>
          </w:tcPr>
          <w:p w14:paraId="3E156670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Embedding</w:t>
            </w:r>
          </w:p>
        </w:tc>
        <w:tc>
          <w:tcPr>
            <w:tcW w:w="2248" w:type="dxa"/>
          </w:tcPr>
          <w:p w14:paraId="5607B3E6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Embedding</w:t>
            </w:r>
          </w:p>
        </w:tc>
        <w:tc>
          <w:tcPr>
            <w:tcW w:w="2248" w:type="dxa"/>
          </w:tcPr>
          <w:p w14:paraId="008D56E6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Embedding</w:t>
            </w:r>
          </w:p>
        </w:tc>
        <w:tc>
          <w:tcPr>
            <w:tcW w:w="2248" w:type="dxa"/>
          </w:tcPr>
          <w:p w14:paraId="494B6EF3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Embedding</w:t>
            </w:r>
          </w:p>
        </w:tc>
        <w:tc>
          <w:tcPr>
            <w:tcW w:w="2328" w:type="dxa"/>
          </w:tcPr>
          <w:p w14:paraId="6DEC3F5C" w14:textId="77777777" w:rsidR="00DA66F6" w:rsidRDefault="00DA66F6" w:rsidP="00C51F6B">
            <w:pPr>
              <w:pStyle w:val="ESBodyText"/>
              <w:jc w:val="center"/>
              <w:rPr>
                <w:rFonts w:eastAsia="Arial"/>
                <w:color w:val="000000"/>
                <w:lang w:val="en-AU"/>
              </w:rPr>
            </w:pPr>
            <w:r>
              <w:rPr>
                <w:rFonts w:eastAsia="Arial"/>
                <w:color w:val="000000"/>
              </w:rPr>
              <w:t>Excelling</w:t>
            </w:r>
          </w:p>
        </w:tc>
      </w:tr>
    </w:tbl>
    <w:p w14:paraId="26911511" w14:textId="77777777" w:rsidR="00DA66F6" w:rsidRDefault="00DA66F6" w:rsidP="004E7357">
      <w:pPr>
        <w:pStyle w:val="ESBodyText"/>
        <w:rPr>
          <w:lang w:val="en-AU"/>
        </w:rPr>
      </w:pPr>
    </w:p>
    <w:p w14:paraId="26E1E586" w14:textId="77777777" w:rsidR="006549CD" w:rsidRDefault="006549CD"/>
    <w:p w14:paraId="432F0FEF" w14:textId="77777777" w:rsidR="006549CD" w:rsidRDefault="006549CD">
      <w:pPr>
        <w:sectPr w:rsidR="006549CD" w:rsidSect="00CD29F2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7F831DE2" w14:textId="77777777" w:rsidR="00DA66F6" w:rsidRPr="009B5728" w:rsidRDefault="00DA66F6" w:rsidP="004E7357">
      <w:pPr>
        <w:pStyle w:val="ESBodyText"/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4"/>
        <w:gridCol w:w="6744"/>
      </w:tblGrid>
      <w:tr w:rsidR="006549CD" w14:paraId="37EF7066" w14:textId="77777777" w:rsidTr="004E6386">
        <w:tc>
          <w:tcPr>
            <w:tcW w:w="6744" w:type="dxa"/>
            <w:shd w:val="clear" w:color="auto" w:fill="F2F2F2"/>
          </w:tcPr>
          <w:p w14:paraId="641E740A" w14:textId="77777777" w:rsidR="00DA66F6" w:rsidRDefault="00DA66F6" w:rsidP="004E7357">
            <w:pPr>
              <w:pStyle w:val="ESBodyText"/>
              <w:rPr>
                <w:rFonts w:eastAsia="Arial"/>
                <w:b/>
                <w:color w:val="000000"/>
                <w:sz w:val="20"/>
                <w:lang w:val="en-AU"/>
              </w:rPr>
            </w:pPr>
            <w:r>
              <w:rPr>
                <w:rFonts w:eastAsia="Arial"/>
                <w:b/>
                <w:color w:val="000000"/>
                <w:sz w:val="20"/>
              </w:rPr>
              <w:t>Future planning for 2026</w:t>
            </w:r>
          </w:p>
        </w:tc>
        <w:tc>
          <w:tcPr>
            <w:tcW w:w="6744" w:type="dxa"/>
          </w:tcPr>
          <w:p w14:paraId="7F569718" w14:textId="77777777" w:rsidR="00DA66F6" w:rsidRPr="004E6386" w:rsidRDefault="00DA66F6" w:rsidP="004E7357">
            <w:pPr>
              <w:pStyle w:val="ESBodyText"/>
              <w:rPr>
                <w:rFonts w:eastAsia="Arial"/>
                <w:color w:val="000000" w:themeColor="text1"/>
                <w:lang w:val="en-AU"/>
              </w:rPr>
            </w:pPr>
            <w:r w:rsidRPr="004E6386">
              <w:rPr>
                <w:rFonts w:eastAsia="Arial"/>
                <w:color w:val="000000"/>
              </w:rPr>
              <w:t xml:space="preserve">Heatherhill Primary School will commence the department's school review process in 2026. </w:t>
            </w:r>
          </w:p>
        </w:tc>
      </w:tr>
    </w:tbl>
    <w:p w14:paraId="77B7DC7B" w14:textId="77777777" w:rsidR="006549CD" w:rsidRDefault="006549CD">
      <w:pPr>
        <w:sectPr w:rsidR="006549CD" w:rsidSect="00CD29F2">
          <w:type w:val="continuous"/>
          <w:pgSz w:w="16838" w:h="11906" w:orient="landscape" w:code="9"/>
          <w:pgMar w:top="1304" w:right="2036" w:bottom="1240" w:left="1304" w:header="624" w:footer="532" w:gutter="0"/>
          <w:pgNumType w:start="2"/>
          <w:cols w:space="397"/>
          <w:docGrid w:linePitch="360"/>
        </w:sectPr>
      </w:pPr>
    </w:p>
    <w:p w14:paraId="63925C4F" w14:textId="77777777" w:rsidR="00DA66F6" w:rsidRPr="00041607" w:rsidRDefault="00DA66F6" w:rsidP="005A1F97">
      <w:pPr>
        <w:pStyle w:val="ESIntroParagraph"/>
        <w:ind w:right="1168"/>
        <w:rPr>
          <w:b/>
          <w:color w:val="AF272F"/>
          <w:sz w:val="32"/>
          <w:szCs w:val="32"/>
          <w:lang w:val="en-AU"/>
        </w:rPr>
      </w:pPr>
      <w:r w:rsidRPr="00041607">
        <w:rPr>
          <w:b/>
          <w:color w:val="AF272F"/>
          <w:sz w:val="32"/>
          <w:szCs w:val="32"/>
          <w:lang w:val="en-AU"/>
        </w:rPr>
        <w:t xml:space="preserve">Select </w:t>
      </w:r>
      <w:r w:rsidRPr="00041607">
        <w:rPr>
          <w:b/>
          <w:color w:val="AF272F"/>
          <w:sz w:val="32"/>
          <w:szCs w:val="32"/>
          <w:lang w:val="en-AU"/>
        </w:rPr>
        <w:t>a</w:t>
      </w:r>
      <w:r w:rsidRPr="00041607">
        <w:rPr>
          <w:b/>
          <w:color w:val="AF272F"/>
          <w:sz w:val="32"/>
          <w:szCs w:val="32"/>
          <w:lang w:val="en-AU"/>
        </w:rPr>
        <w:t xml:space="preserve">nnual </w:t>
      </w:r>
      <w:r w:rsidRPr="00041607">
        <w:rPr>
          <w:b/>
          <w:color w:val="AF272F"/>
          <w:sz w:val="32"/>
          <w:szCs w:val="32"/>
          <w:lang w:val="en-AU"/>
        </w:rPr>
        <w:t>g</w:t>
      </w:r>
      <w:r w:rsidRPr="00041607">
        <w:rPr>
          <w:b/>
          <w:color w:val="AF272F"/>
          <w:sz w:val="32"/>
          <w:szCs w:val="32"/>
          <w:lang w:val="en-AU"/>
        </w:rPr>
        <w:t>oals and KIS</w:t>
      </w:r>
    </w:p>
    <w:p w14:paraId="00EC25D5" w14:textId="77777777" w:rsidR="00DA66F6" w:rsidRPr="00041607" w:rsidRDefault="00DA66F6" w:rsidP="00DD0CC0">
      <w:pPr>
        <w:pStyle w:val="ESBodyText"/>
        <w:ind w:left="-284"/>
        <w:rPr>
          <w:lang w:val="en-AU"/>
        </w:rPr>
      </w:pPr>
    </w:p>
    <w:tbl>
      <w:tblPr>
        <w:tblStyle w:val="TableGrid"/>
        <w:tblW w:w="15735" w:type="dxa"/>
        <w:tblInd w:w="-147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47"/>
        <w:gridCol w:w="1677"/>
        <w:gridCol w:w="6039"/>
        <w:gridCol w:w="3713"/>
        <w:gridCol w:w="1559"/>
      </w:tblGrid>
      <w:tr w:rsidR="006549CD" w14:paraId="08174364" w14:textId="77777777" w:rsidTr="00DD0CC0">
        <w:trPr>
          <w:trHeight w:val="783"/>
        </w:trPr>
        <w:tc>
          <w:tcPr>
            <w:tcW w:w="2747" w:type="dxa"/>
            <w:shd w:val="clear" w:color="auto" w:fill="D9D9D9" w:themeFill="background1" w:themeFillShade="D9"/>
          </w:tcPr>
          <w:p w14:paraId="7E741BC4" w14:textId="77777777" w:rsidR="00DA66F6" w:rsidRPr="00E043DF" w:rsidRDefault="00DA66F6" w:rsidP="00DD0CC0">
            <w:pPr>
              <w:pStyle w:val="Heading3"/>
              <w:spacing w:before="100" w:beforeAutospacing="1" w:after="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Four-year strategic goals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475A21AB" w14:textId="77777777" w:rsidR="00DA66F6" w:rsidRPr="00E043DF" w:rsidRDefault="00DA66F6" w:rsidP="00DD0CC0">
            <w:pPr>
              <w:pStyle w:val="Heading3"/>
              <w:spacing w:before="100" w:beforeAutospacing="1" w:after="0"/>
              <w:ind w:left="-20" w:firstLine="20"/>
              <w:rPr>
                <w:szCs w:val="20"/>
                <w:lang w:val="en-AU"/>
              </w:rPr>
            </w:pPr>
            <w:r w:rsidRPr="00E043DF">
              <w:rPr>
                <w:szCs w:val="20"/>
                <w:lang w:val="en-AU"/>
              </w:rPr>
              <w:t>Is this selected for focus this year?</w:t>
            </w:r>
          </w:p>
          <w:p w14:paraId="67CA7F0D" w14:textId="77777777" w:rsidR="00DA66F6" w:rsidRPr="00E043DF" w:rsidRDefault="00DA66F6" w:rsidP="00DD0CC0">
            <w:pPr>
              <w:pStyle w:val="Heading3"/>
              <w:spacing w:before="100" w:beforeAutospacing="1" w:after="0"/>
              <w:ind w:left="-284"/>
              <w:rPr>
                <w:szCs w:val="20"/>
                <w:lang w:val="en-AU"/>
              </w:rPr>
            </w:pPr>
          </w:p>
        </w:tc>
        <w:tc>
          <w:tcPr>
            <w:tcW w:w="6039" w:type="dxa"/>
            <w:shd w:val="clear" w:color="auto" w:fill="D9D9D9" w:themeFill="background1" w:themeFillShade="D9"/>
          </w:tcPr>
          <w:p w14:paraId="5E78FF12" w14:textId="77777777" w:rsidR="00DA66F6" w:rsidRPr="00E043DF" w:rsidRDefault="00DA66F6" w:rsidP="00DD0CC0">
            <w:pPr>
              <w:spacing w:before="100" w:beforeAutospacing="1" w:after="0"/>
              <w:ind w:left="1"/>
              <w:rPr>
                <w:color w:val="000000" w:themeColor="text1"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Four-year strategic targets</w:t>
            </w:r>
          </w:p>
        </w:tc>
        <w:tc>
          <w:tcPr>
            <w:tcW w:w="3713" w:type="dxa"/>
            <w:shd w:val="clear" w:color="auto" w:fill="D9D9D9"/>
          </w:tcPr>
          <w:p w14:paraId="62DE3E36" w14:textId="77777777" w:rsidR="00DA66F6" w:rsidRPr="00E043DF" w:rsidRDefault="00DA66F6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Key Improvement Strategies</w:t>
            </w:r>
          </w:p>
        </w:tc>
        <w:tc>
          <w:tcPr>
            <w:tcW w:w="1559" w:type="dxa"/>
            <w:shd w:val="clear" w:color="auto" w:fill="D9D9D9"/>
          </w:tcPr>
          <w:p w14:paraId="0305944F" w14:textId="77777777" w:rsidR="00DA66F6" w:rsidRPr="00E043DF" w:rsidRDefault="00DA66F6" w:rsidP="00DD0CC0">
            <w:pPr>
              <w:spacing w:before="100" w:beforeAutospacing="1" w:after="0"/>
              <w:rPr>
                <w:b/>
                <w:sz w:val="20"/>
                <w:szCs w:val="20"/>
                <w:lang w:val="en-AU"/>
              </w:rPr>
            </w:pPr>
            <w:r w:rsidRPr="00E043DF">
              <w:rPr>
                <w:b/>
                <w:sz w:val="20"/>
                <w:szCs w:val="20"/>
                <w:lang w:val="en-AU"/>
              </w:rPr>
              <w:t>Is this KIS selected for focus this year?</w:t>
            </w:r>
          </w:p>
        </w:tc>
      </w:tr>
      <w:tr w:rsidR="006549CD" w14:paraId="5C03070F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7F80F8A4" w14:textId="77777777" w:rsidR="00DA66F6" w:rsidRPr="00B274BE" w:rsidRDefault="00DA66F6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Strengthen students’ wellbeing.</w:t>
            </w:r>
          </w:p>
        </w:tc>
        <w:tc>
          <w:tcPr>
            <w:tcW w:w="1677" w:type="dxa"/>
            <w:vMerge w:val="restart"/>
          </w:tcPr>
          <w:p w14:paraId="11CFADF2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6750E9B7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Decrease the proportion of students with 20+ days absence from 23 percent in 2021 to 20 percent in 2026. </w:t>
            </w:r>
          </w:p>
          <w:p w14:paraId="2622F24A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EDDFED"/>
          </w:tcPr>
          <w:p w14:paraId="25B5CE6F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Promote and engage students in programs to develop their mental and physical health and social-emotional wellbeing.</w:t>
            </w:r>
          </w:p>
        </w:tc>
        <w:tc>
          <w:tcPr>
            <w:tcW w:w="1559" w:type="dxa"/>
          </w:tcPr>
          <w:p w14:paraId="4ABD5217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6549CD" w14:paraId="5C1C2315" w14:textId="77777777" w:rsidTr="00DD0CC0">
        <w:trPr>
          <w:trHeight w:val="83"/>
        </w:trPr>
        <w:tc>
          <w:tcPr>
            <w:tcW w:w="2747" w:type="dxa"/>
            <w:vMerge/>
          </w:tcPr>
          <w:p w14:paraId="7B32A7F5" w14:textId="77777777" w:rsidR="00DA66F6" w:rsidRPr="00B274BE" w:rsidRDefault="00DA66F6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61625637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149271B2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improve the percentage positive responses on the Attitudes to School Survey for the following factors: </w:t>
            </w:r>
          </w:p>
          <w:p w14:paraId="51207ADA" w14:textId="77777777" w:rsidR="00DA66F6" w:rsidRPr="00041607" w:rsidRDefault="00DA66F6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Teacher concern from 73% in 2021 to 77% </w:t>
            </w:r>
          </w:p>
          <w:p w14:paraId="6615D815" w14:textId="77777777" w:rsidR="00DA66F6" w:rsidRPr="00041607" w:rsidRDefault="00DA66F6" w:rsidP="00B274BE">
            <w:pPr>
              <w:pStyle w:val="ESBodyText"/>
              <w:numPr>
                <w:ilvl w:val="0"/>
                <w:numId w:val="18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Sense of confidence from 73% in 2021 to 80% </w:t>
            </w:r>
          </w:p>
          <w:p w14:paraId="6F0F8421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FF0C9"/>
          </w:tcPr>
          <w:p w14:paraId="414CD269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Review and refine the development, implementation, and monitoring of Individual Education Plans (IEP) and student learning contracts.</w:t>
            </w:r>
          </w:p>
        </w:tc>
        <w:tc>
          <w:tcPr>
            <w:tcW w:w="1559" w:type="dxa"/>
          </w:tcPr>
          <w:p w14:paraId="3B30D9B1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6549CD" w14:paraId="4D123FAF" w14:textId="77777777" w:rsidTr="00DD0CC0">
        <w:trPr>
          <w:trHeight w:val="83"/>
        </w:trPr>
        <w:tc>
          <w:tcPr>
            <w:tcW w:w="2747" w:type="dxa"/>
            <w:vMerge/>
          </w:tcPr>
          <w:p w14:paraId="3E7AB6EB" w14:textId="77777777" w:rsidR="00DA66F6" w:rsidRPr="00B274BE" w:rsidRDefault="00DA66F6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04C82A7E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0E12E471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improve the percentage positive responses on the Parent Opinion Survey for the following factors: </w:t>
            </w:r>
          </w:p>
          <w:p w14:paraId="05D26D2A" w14:textId="77777777" w:rsidR="00DA66F6" w:rsidRPr="00041607" w:rsidRDefault="00DA66F6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Promoting positive behaviours from 81% in 2021 to 86% </w:t>
            </w:r>
          </w:p>
          <w:p w14:paraId="74B29AE1" w14:textId="77777777" w:rsidR="00DA66F6" w:rsidRPr="00041607" w:rsidRDefault="00DA66F6" w:rsidP="00B274BE">
            <w:pPr>
              <w:pStyle w:val="ESBodyText"/>
              <w:numPr>
                <w:ilvl w:val="0"/>
                <w:numId w:val="19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Confidence and resiliency skills from 81% in 2021 to 85%</w:t>
            </w:r>
          </w:p>
          <w:p w14:paraId="02EC938B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EDDFED"/>
          </w:tcPr>
          <w:p w14:paraId="48E4DAE4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Embed procedures, protocols, and systems to identify students at risk of disengagement and implement a tiered response to ensure all students are connected to learning.</w:t>
            </w:r>
          </w:p>
        </w:tc>
        <w:tc>
          <w:tcPr>
            <w:tcW w:w="1559" w:type="dxa"/>
          </w:tcPr>
          <w:p w14:paraId="0EAE3ACB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6549CD" w14:paraId="14C26CBB" w14:textId="77777777" w:rsidTr="00DD0CC0">
        <w:trPr>
          <w:trHeight w:val="83"/>
        </w:trPr>
        <w:tc>
          <w:tcPr>
            <w:tcW w:w="2747" w:type="dxa"/>
            <w:vMerge w:val="restart"/>
          </w:tcPr>
          <w:p w14:paraId="5021F06B" w14:textId="77777777" w:rsidR="00DA66F6" w:rsidRPr="00B274BE" w:rsidRDefault="00DA66F6" w:rsidP="00B274BE">
            <w:pPr>
              <w:pStyle w:val="ESBodyText"/>
              <w:spacing w:after="0"/>
              <w:rPr>
                <w:rFonts w:eastAsia="Arial"/>
                <w:sz w:val="22"/>
              </w:rPr>
            </w:pPr>
            <w:r w:rsidRPr="00B274BE">
              <w:rPr>
                <w:rFonts w:eastAsia="Arial"/>
                <w:sz w:val="22"/>
              </w:rPr>
              <w:t>Maximise student learning growth in literacy and numeracy.</w:t>
            </w:r>
          </w:p>
        </w:tc>
        <w:tc>
          <w:tcPr>
            <w:tcW w:w="1677" w:type="dxa"/>
            <w:vMerge w:val="restart"/>
          </w:tcPr>
          <w:p w14:paraId="41111C87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  <w:tc>
          <w:tcPr>
            <w:tcW w:w="6039" w:type="dxa"/>
          </w:tcPr>
          <w:p w14:paraId="488030D9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NAPLAN  - Students by Proficiency Levels</w:t>
            </w:r>
          </w:p>
          <w:p w14:paraId="78DECB72" w14:textId="77777777" w:rsidR="00DA66F6" w:rsidRPr="00041607" w:rsidRDefault="00DA66F6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Increase the proportion of students in the 'exceeding' proficiency level in reading to at least 20 percent (from 16 percent in 2024)</w:t>
            </w:r>
          </w:p>
          <w:p w14:paraId="162FD3B8" w14:textId="77777777" w:rsidR="00DA66F6" w:rsidRPr="00041607" w:rsidRDefault="00DA66F6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Decrease the proportion of students in the 'needs additional support' proficiency level in reading (from 9 percent in 2024) to 6 percent</w:t>
            </w:r>
          </w:p>
          <w:p w14:paraId="43DA04B2" w14:textId="77777777" w:rsidR="00DA66F6" w:rsidRPr="00041607" w:rsidRDefault="00DA66F6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Increase the proportion of students in the 'exceeding' proficiency level in numeracy to at least 15 percent (from 9 percent in 2024)</w:t>
            </w:r>
          </w:p>
          <w:p w14:paraId="1DF30C1D" w14:textId="77777777" w:rsidR="00DA66F6" w:rsidRPr="00041607" w:rsidRDefault="00DA66F6" w:rsidP="00B274BE">
            <w:pPr>
              <w:pStyle w:val="ESBodyText"/>
              <w:numPr>
                <w:ilvl w:val="0"/>
                <w:numId w:val="20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sz w:val="22"/>
              </w:rPr>
              <w:t>Decrease the proportion of students in the 'needs additional support' proficiency level in numeracy (from 9 percent in 2024) to 6 percent</w:t>
            </w:r>
          </w:p>
          <w:p w14:paraId="10247A26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CCECEB"/>
          </w:tcPr>
          <w:p w14:paraId="626EAD77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Strengthen teacher capability in implementing highly effective learning and teaching practice.</w:t>
            </w:r>
          </w:p>
        </w:tc>
        <w:tc>
          <w:tcPr>
            <w:tcW w:w="1559" w:type="dxa"/>
          </w:tcPr>
          <w:p w14:paraId="4B0187C5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  <w:tr w:rsidR="006549CD" w14:paraId="26CB91C2" w14:textId="77777777" w:rsidTr="00DD0CC0">
        <w:trPr>
          <w:trHeight w:val="83"/>
        </w:trPr>
        <w:tc>
          <w:tcPr>
            <w:tcW w:w="2747" w:type="dxa"/>
            <w:vMerge/>
          </w:tcPr>
          <w:p w14:paraId="01D20573" w14:textId="77777777" w:rsidR="00DA66F6" w:rsidRPr="00B274BE" w:rsidRDefault="00DA66F6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7127B323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1B1045EC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improve the percentage positive responses on the Staff Opinion Survey for the following factors: </w:t>
            </w:r>
          </w:p>
          <w:p w14:paraId="5A57310B" w14:textId="77777777" w:rsidR="00DA66F6" w:rsidRPr="00041607" w:rsidRDefault="00DA66F6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Academic emphasis from 67% in 2021 to 72% </w:t>
            </w:r>
          </w:p>
          <w:p w14:paraId="5E0169AE" w14:textId="77777777" w:rsidR="00DA66F6" w:rsidRPr="00041607" w:rsidRDefault="00DA66F6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Collective efficacy from 66% in 2021 to 72% </w:t>
            </w:r>
          </w:p>
          <w:p w14:paraId="77402D9F" w14:textId="77777777" w:rsidR="00DA66F6" w:rsidRPr="00041607" w:rsidRDefault="00DA66F6" w:rsidP="00B274BE">
            <w:pPr>
              <w:pStyle w:val="ESBodyText"/>
              <w:numPr>
                <w:ilvl w:val="0"/>
                <w:numId w:val="21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Promote student ownership of learning goals from 60% in 2021 to 75%</w:t>
            </w:r>
          </w:p>
          <w:p w14:paraId="74231ECD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D3EBF9"/>
          </w:tcPr>
          <w:p w14:paraId="02618A00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Embed teacher capabilities to analyse and use data to inform differentiated learning.</w:t>
            </w:r>
          </w:p>
        </w:tc>
        <w:tc>
          <w:tcPr>
            <w:tcW w:w="1559" w:type="dxa"/>
          </w:tcPr>
          <w:p w14:paraId="72F7C849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6549CD" w14:paraId="519D5C79" w14:textId="77777777" w:rsidTr="00DD0CC0">
        <w:trPr>
          <w:trHeight w:val="83"/>
        </w:trPr>
        <w:tc>
          <w:tcPr>
            <w:tcW w:w="2747" w:type="dxa"/>
            <w:vMerge/>
          </w:tcPr>
          <w:p w14:paraId="6AA385FB" w14:textId="77777777" w:rsidR="00DA66F6" w:rsidRPr="00B274BE" w:rsidRDefault="00DA66F6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1E57EB77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2DF102AF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By 2026, improve the percentage positive responses on the Attitudes to School Survey for the following factors: </w:t>
            </w:r>
          </w:p>
          <w:p w14:paraId="1200ADDF" w14:textId="77777777" w:rsidR="00DA66F6" w:rsidRPr="00041607" w:rsidRDefault="00DA66F6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Stimulated learning from 83% in 2021 to 86% </w:t>
            </w:r>
          </w:p>
          <w:p w14:paraId="3F1B03A0" w14:textId="77777777" w:rsidR="00DA66F6" w:rsidRPr="00041607" w:rsidRDefault="00DA66F6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Differentiated learning challenge from 87% in 2021 to 90% </w:t>
            </w:r>
          </w:p>
          <w:p w14:paraId="0A66F323" w14:textId="77777777" w:rsidR="00DA66F6" w:rsidRPr="00041607" w:rsidRDefault="00DA66F6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Student voice and agency from 64% in 2021 to 70% </w:t>
            </w:r>
          </w:p>
          <w:p w14:paraId="2A8A294F" w14:textId="77777777" w:rsidR="00DA66F6" w:rsidRPr="00041607" w:rsidRDefault="00DA66F6" w:rsidP="00B274BE">
            <w:pPr>
              <w:pStyle w:val="ESBodyText"/>
              <w:numPr>
                <w:ilvl w:val="0"/>
                <w:numId w:val="22"/>
              </w:numPr>
              <w:spacing w:after="0"/>
              <w:ind w:hanging="201"/>
              <w:rPr>
                <w:rFonts w:eastAsia="Arial"/>
                <w:sz w:val="22"/>
                <w:szCs w:val="22"/>
              </w:rPr>
            </w:pPr>
            <w:r w:rsidRPr="00041607">
              <w:rPr>
                <w:rFonts w:eastAsia="Arial"/>
                <w:color w:val="000000"/>
                <w:sz w:val="22"/>
              </w:rPr>
              <w:t>Perseverance from 76% in 2021 to 80% </w:t>
            </w:r>
          </w:p>
          <w:p w14:paraId="115F79E5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rFonts w:eastAsia="Arial"/>
                <w:sz w:val="22"/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14:paraId="16D3F087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Strengthen teacher knowledge and practice to activate learner agency.</w:t>
            </w:r>
          </w:p>
        </w:tc>
        <w:tc>
          <w:tcPr>
            <w:tcW w:w="1559" w:type="dxa"/>
          </w:tcPr>
          <w:p w14:paraId="5BBF3692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No</w:t>
            </w:r>
          </w:p>
        </w:tc>
      </w:tr>
      <w:tr w:rsidR="006549CD" w14:paraId="09308DC9" w14:textId="77777777" w:rsidTr="00DD0CC0">
        <w:trPr>
          <w:trHeight w:val="83"/>
        </w:trPr>
        <w:tc>
          <w:tcPr>
            <w:tcW w:w="2747" w:type="dxa"/>
            <w:vMerge/>
          </w:tcPr>
          <w:p w14:paraId="1CF17B34" w14:textId="77777777" w:rsidR="00DA66F6" w:rsidRPr="00B274BE" w:rsidRDefault="00DA66F6" w:rsidP="00B274BE">
            <w:pPr>
              <w:pStyle w:val="ESBodyText"/>
              <w:spacing w:after="0"/>
            </w:pPr>
          </w:p>
        </w:tc>
        <w:tc>
          <w:tcPr>
            <w:tcW w:w="1677" w:type="dxa"/>
            <w:vMerge/>
          </w:tcPr>
          <w:p w14:paraId="77104D48" w14:textId="77777777" w:rsidR="00DA66F6" w:rsidRPr="00041607" w:rsidRDefault="00DA66F6" w:rsidP="00B274BE">
            <w:pPr>
              <w:pStyle w:val="ESBodyText"/>
              <w:spacing w:after="0"/>
              <w:ind w:left="-20"/>
              <w:rPr>
                <w:lang w:val="en-AU"/>
              </w:rPr>
            </w:pPr>
          </w:p>
        </w:tc>
        <w:tc>
          <w:tcPr>
            <w:tcW w:w="6039" w:type="dxa"/>
          </w:tcPr>
          <w:p w14:paraId="4771C9BA" w14:textId="77777777" w:rsidR="00DA66F6" w:rsidRPr="00041607" w:rsidRDefault="00DA66F6" w:rsidP="00B274BE">
            <w:pPr>
              <w:pStyle w:val="ESBodyText"/>
              <w:spacing w:after="0"/>
              <w:ind w:left="1"/>
              <w:rPr>
                <w:lang w:val="en-AU"/>
              </w:rPr>
            </w:pPr>
          </w:p>
        </w:tc>
        <w:tc>
          <w:tcPr>
            <w:tcW w:w="3713" w:type="dxa"/>
            <w:shd w:val="clear" w:color="auto" w:fill="FDF1F5"/>
          </w:tcPr>
          <w:p w14:paraId="7354C719" w14:textId="77777777" w:rsidR="00DA66F6" w:rsidRPr="00041607" w:rsidRDefault="00DA66F6" w:rsidP="00B274BE">
            <w:pPr>
              <w:pStyle w:val="ESBodyText"/>
              <w:spacing w:after="0"/>
              <w:ind w:left="5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Develop students’ capabilities to persevere with their learning.</w:t>
            </w:r>
          </w:p>
        </w:tc>
        <w:tc>
          <w:tcPr>
            <w:tcW w:w="1559" w:type="dxa"/>
          </w:tcPr>
          <w:p w14:paraId="166704D1" w14:textId="77777777" w:rsidR="00DA66F6" w:rsidRPr="00041607" w:rsidRDefault="00DA66F6" w:rsidP="00B274BE">
            <w:pPr>
              <w:pStyle w:val="ESBodyText"/>
              <w:spacing w:after="0"/>
              <w:ind w:left="31"/>
              <w:rPr>
                <w:rFonts w:eastAsia="Arial"/>
                <w:sz w:val="22"/>
                <w:lang w:val="en-AU"/>
              </w:rPr>
            </w:pPr>
            <w:r w:rsidRPr="00041607">
              <w:rPr>
                <w:rFonts w:eastAsia="Arial"/>
                <w:sz w:val="22"/>
              </w:rPr>
              <w:t>Yes</w:t>
            </w:r>
          </w:p>
        </w:tc>
      </w:tr>
    </w:tbl>
    <w:p w14:paraId="26BC12EA" w14:textId="77777777" w:rsidR="00DA66F6" w:rsidRPr="00041607" w:rsidRDefault="00DA66F6" w:rsidP="00C365AB">
      <w:pPr>
        <w:pStyle w:val="ESBodyText"/>
        <w:spacing w:after="0"/>
        <w:rPr>
          <w:lang w:val="en-AU"/>
        </w:rPr>
      </w:pPr>
    </w:p>
    <w:p w14:paraId="182E6C02" w14:textId="77777777" w:rsidR="006549CD" w:rsidRDefault="006549CD">
      <w:pPr>
        <w:sectPr w:rsidR="006549CD" w:rsidSect="00813499">
          <w:pgSz w:w="16838" w:h="11906" w:orient="landscape" w:code="9"/>
          <w:pgMar w:top="720" w:right="720" w:bottom="720" w:left="720" w:header="624" w:footer="532" w:gutter="0"/>
          <w:pgNumType w:start="2"/>
          <w:cols w:space="397"/>
          <w:docGrid w:linePitch="360"/>
        </w:sectPr>
      </w:pPr>
    </w:p>
    <w:p w14:paraId="47F249C4" w14:textId="77777777" w:rsidR="00DA66F6" w:rsidRPr="002F40EA" w:rsidRDefault="00DA66F6" w:rsidP="006C7A56">
      <w:pPr>
        <w:ind w:right="-542"/>
        <w:rPr>
          <w:b/>
          <w:color w:val="AF272F"/>
          <w:sz w:val="32"/>
          <w:szCs w:val="32"/>
          <w:lang w:val="en-AU"/>
        </w:rPr>
      </w:pPr>
      <w:r w:rsidRPr="002F40EA">
        <w:rPr>
          <w:b/>
          <w:color w:val="AF272F"/>
          <w:sz w:val="32"/>
          <w:szCs w:val="32"/>
          <w:lang w:val="en-AU"/>
        </w:rPr>
        <w:t xml:space="preserve">Define </w:t>
      </w:r>
      <w:r>
        <w:rPr>
          <w:b/>
          <w:color w:val="AF272F"/>
          <w:sz w:val="32"/>
          <w:szCs w:val="32"/>
        </w:rPr>
        <w:t>a</w:t>
      </w:r>
      <w:r w:rsidRPr="00700D80">
        <w:rPr>
          <w:b/>
          <w:color w:val="AF272F"/>
          <w:sz w:val="32"/>
          <w:szCs w:val="32"/>
        </w:rPr>
        <w:t>ctions, evidence of change and tasks</w:t>
      </w:r>
    </w:p>
    <w:p w14:paraId="3504B128" w14:textId="77777777" w:rsidR="00DA66F6" w:rsidRPr="002F40EA" w:rsidRDefault="00DA66F6" w:rsidP="00C259B6">
      <w:pPr>
        <w:pStyle w:val="ESIntroParagraph"/>
        <w:ind w:left="-567" w:right="4330" w:firstLine="567"/>
        <w:rPr>
          <w:color w:val="AF272F"/>
          <w:sz w:val="20"/>
          <w:szCs w:val="20"/>
          <w:lang w:val="en-AU"/>
        </w:rPr>
      </w:pPr>
    </w:p>
    <w:tbl>
      <w:tblPr>
        <w:tblStyle w:val="TableGrid"/>
        <w:tblW w:w="1502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6799"/>
        <w:gridCol w:w="5103"/>
      </w:tblGrid>
      <w:tr w:rsidR="006549CD" w14:paraId="0388A6F1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00D13EA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60C1BD51" w14:textId="77777777" w:rsidR="00DA66F6" w:rsidRPr="0033147D" w:rsidRDefault="00DA66F6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Maximise student learning growth in literacy and numeracy.</w:t>
            </w:r>
          </w:p>
        </w:tc>
      </w:tr>
      <w:tr w:rsidR="006549CD" w14:paraId="01786CC2" w14:textId="77777777" w:rsidTr="00400BA1">
        <w:trPr>
          <w:trHeight w:val="15"/>
        </w:trPr>
        <w:tc>
          <w:tcPr>
            <w:tcW w:w="3119" w:type="dxa"/>
            <w:shd w:val="clear" w:color="auto" w:fill="58BFBC"/>
          </w:tcPr>
          <w:p w14:paraId="2C792F36" w14:textId="77777777" w:rsidR="00DA66F6" w:rsidRPr="002F40EA" w:rsidRDefault="00DA66F6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1.a</w:t>
            </w:r>
          </w:p>
        </w:tc>
        <w:tc>
          <w:tcPr>
            <w:tcW w:w="11902" w:type="dxa"/>
            <w:gridSpan w:val="2"/>
            <w:shd w:val="clear" w:color="auto" w:fill="58BFBC"/>
          </w:tcPr>
          <w:p w14:paraId="40150548" w14:textId="77777777" w:rsidR="00DA66F6" w:rsidRPr="0033147D" w:rsidRDefault="00DA66F6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Strengthen teacher capability in implementing highly effective learning and teaching practice.</w:t>
            </w:r>
          </w:p>
        </w:tc>
      </w:tr>
      <w:tr w:rsidR="006549CD" w14:paraId="705151C5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3F0FA8A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4EC82C1E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Strengthen teacher capability in highly effective learning and teaching of English and mathematics.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6549CD" w14:paraId="3DBC474E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7ABAEF78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7081C700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Victorian Curriculum 2.0 teacher judgements show an increase in the number of students achieving at or above the age expected level in English and mathematics.</w:t>
            </w:r>
            <w:r>
              <w:rPr>
                <w:rFonts w:eastAsia="Arial"/>
                <w:sz w:val="22"/>
              </w:rPr>
              <w:br/>
              <w:t>Teachers demonstrate improved ability to identify students who require support by consistently using formative and summative assessment data.</w:t>
            </w:r>
            <w:r>
              <w:rPr>
                <w:rFonts w:eastAsia="Arial"/>
                <w:sz w:val="22"/>
              </w:rPr>
              <w:br/>
              <w:t>Students working below the expected level (including those on an IEP) report increased confidence in English and mathematics after receiving targeted support.</w:t>
            </w:r>
            <w:r>
              <w:rPr>
                <w:rFonts w:eastAsia="Arial"/>
                <w:sz w:val="22"/>
              </w:rPr>
              <w:br/>
              <w:t xml:space="preserve">The number of students receiving literacy and numeracy support through intervention will continue to decrease. </w:t>
            </w:r>
          </w:p>
        </w:tc>
      </w:tr>
      <w:tr w:rsidR="006549CD" w14:paraId="543D731D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7B08625C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BB25A43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6549CD" w14:paraId="05C1F6FD" w14:textId="77777777" w:rsidTr="00F0634E">
        <w:trPr>
          <w:trHeight w:val="20"/>
        </w:trPr>
        <w:tc>
          <w:tcPr>
            <w:tcW w:w="9918" w:type="dxa"/>
            <w:gridSpan w:val="2"/>
          </w:tcPr>
          <w:p w14:paraId="5475F0E8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- Provide professional Learning to build, consolidate and enhance teacher capabilities in the explicit teaching of English and mathematics, VTLM 2.0, phonics and word study. </w:t>
            </w:r>
            <w:r>
              <w:rPr>
                <w:rFonts w:eastAsia="Arial"/>
                <w:sz w:val="22"/>
              </w:rPr>
              <w:br/>
              <w:t>- Develop Individual Education Plans (IEPs) and Student Learning Contracts (SLCs), and evaluate the impact of the adjustments and interventions implemented.</w:t>
            </w:r>
            <w:r>
              <w:rPr>
                <w:rFonts w:eastAsia="Arial"/>
                <w:sz w:val="22"/>
              </w:rPr>
              <w:br/>
              <w:t xml:space="preserve">- Scheduled Learning Walks, Mentoring, and Coaching sessions will demonstrate teacher growth in highly effective learning and teaching in English and mathematics. </w:t>
            </w:r>
            <w:r>
              <w:rPr>
                <w:rFonts w:eastAsia="Arial"/>
                <w:sz w:val="22"/>
              </w:rPr>
              <w:br/>
              <w:t xml:space="preserve">- Review teacher judgement data in English and mathematics against 2025 baseline data. </w:t>
            </w:r>
            <w:r>
              <w:rPr>
                <w:rFonts w:eastAsia="Arial"/>
                <w:sz w:val="22"/>
              </w:rPr>
              <w:br/>
              <w:t>- Review the Staff Opinion Survey factors: academic emphasis, collective efficacy and promoting studen</w:t>
            </w:r>
            <w:r>
              <w:rPr>
                <w:rFonts w:eastAsia="Arial"/>
                <w:sz w:val="22"/>
              </w:rPr>
              <w:t xml:space="preserve">t ownership of learning goals against the 2025 baseline data. </w:t>
            </w:r>
          </w:p>
        </w:tc>
        <w:tc>
          <w:tcPr>
            <w:tcW w:w="5103" w:type="dxa"/>
          </w:tcPr>
          <w:p w14:paraId="4BA7D829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011C7B9C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Learning specialist(s)</w:t>
            </w:r>
          </w:p>
          <w:p w14:paraId="3CBEB390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improvement teacher</w:t>
            </w:r>
          </w:p>
          <w:p w14:paraId="7AFB7560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  <w:p w14:paraId="1BD2D5EB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  <w:p w14:paraId="02655D89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</w:tr>
      <w:tr w:rsidR="006549CD" w14:paraId="35E4314D" w14:textId="77777777" w:rsidTr="00400BA1">
        <w:trPr>
          <w:trHeight w:val="15"/>
        </w:trPr>
        <w:tc>
          <w:tcPr>
            <w:tcW w:w="3119" w:type="dxa"/>
            <w:shd w:val="clear" w:color="auto" w:fill="F7CDDB"/>
          </w:tcPr>
          <w:p w14:paraId="7D2CED73" w14:textId="77777777" w:rsidR="00DA66F6" w:rsidRPr="002F40EA" w:rsidRDefault="00DA66F6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1.d</w:t>
            </w:r>
          </w:p>
        </w:tc>
        <w:tc>
          <w:tcPr>
            <w:tcW w:w="11902" w:type="dxa"/>
            <w:gridSpan w:val="2"/>
            <w:shd w:val="clear" w:color="auto" w:fill="F7CDDB"/>
          </w:tcPr>
          <w:p w14:paraId="3F9E45AF" w14:textId="77777777" w:rsidR="00DA66F6" w:rsidRPr="0033147D" w:rsidRDefault="00DA66F6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Develop students’ capabilities to persevere with their learning.</w:t>
            </w:r>
          </w:p>
        </w:tc>
      </w:tr>
      <w:tr w:rsidR="006549CD" w14:paraId="52B8A48C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E4431F0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693C8B4B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 xml:space="preserve">Build teachers' capabilities to build students' disposition to persevere with their learning. </w:t>
            </w:r>
          </w:p>
        </w:tc>
      </w:tr>
      <w:tr w:rsidR="006549CD" w14:paraId="61B3D129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108D62B5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1B10770C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- Professional learning for teaching staff includes a clear and detailed explanation of teaching for perseverance.</w:t>
            </w:r>
            <w:r>
              <w:rPr>
                <w:rFonts w:eastAsia="Arial"/>
                <w:sz w:val="22"/>
              </w:rPr>
              <w:br/>
            </w:r>
            <w:r>
              <w:rPr>
                <w:rFonts w:eastAsia="Arial"/>
                <w:sz w:val="22"/>
              </w:rPr>
              <w:t xml:space="preserve">- Teachers develop differentiated tasks within the students' zone of proximal development, including monitoring growth, progress and providing timely feedback. </w:t>
            </w:r>
            <w:r>
              <w:rPr>
                <w:rFonts w:eastAsia="Arial"/>
                <w:sz w:val="22"/>
              </w:rPr>
              <w:br/>
              <w:t xml:space="preserve">- Teacher explicitly teaches cognitive and metacognitive strategies: to persevere with their learning. </w:t>
            </w:r>
            <w:r>
              <w:rPr>
                <w:rFonts w:eastAsia="Arial"/>
                <w:sz w:val="22"/>
              </w:rPr>
              <w:br/>
              <w:t xml:space="preserve">- Attitudes to School Survey results for the ‘perseverance' domain have improved from the 2025 baseline data. </w:t>
            </w:r>
            <w:r>
              <w:rPr>
                <w:rFonts w:eastAsia="Arial"/>
                <w:sz w:val="22"/>
              </w:rPr>
              <w:br/>
              <w:t xml:space="preserve">- Student learning goals will reflect perseverance, self-regulation and doing their best. </w:t>
            </w:r>
            <w:r>
              <w:rPr>
                <w:rFonts w:eastAsia="Arial"/>
                <w:sz w:val="22"/>
              </w:rPr>
              <w:br/>
              <w:t>- Individual Education Plans (IEPs) and Stude</w:t>
            </w:r>
            <w:r>
              <w:rPr>
                <w:rFonts w:eastAsia="Arial"/>
                <w:sz w:val="22"/>
              </w:rPr>
              <w:t>nt Learning Contracts (SLCs) have been reviewed and updated, with students receiving the documented supports.</w:t>
            </w:r>
          </w:p>
        </w:tc>
      </w:tr>
      <w:tr w:rsidR="006549CD" w14:paraId="05DE6E35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4A6C0EE0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E838051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6549CD" w14:paraId="1489AA71" w14:textId="77777777" w:rsidTr="00F0634E">
        <w:trPr>
          <w:trHeight w:val="20"/>
        </w:trPr>
        <w:tc>
          <w:tcPr>
            <w:tcW w:w="9918" w:type="dxa"/>
            <w:gridSpan w:val="2"/>
          </w:tcPr>
          <w:p w14:paraId="4136A55F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The school improvement team facilitates professional learning on teaching for perseverance.</w:t>
            </w:r>
            <w:r>
              <w:rPr>
                <w:rFonts w:eastAsia="Arial"/>
                <w:sz w:val="22"/>
              </w:rPr>
              <w:br/>
              <w:t>Review and refine student learning goals to include perseverance.</w:t>
            </w:r>
            <w:r>
              <w:rPr>
                <w:rFonts w:eastAsia="Arial"/>
                <w:sz w:val="22"/>
              </w:rPr>
              <w:br/>
              <w:t>Review and update Individual Education Plans (IEPs) and Student Learning Contracts (SLCs) to include perseverance.</w:t>
            </w:r>
            <w:r>
              <w:rPr>
                <w:rFonts w:eastAsia="Arial"/>
                <w:sz w:val="22"/>
              </w:rPr>
              <w:br/>
              <w:t xml:space="preserve">School improvement team to attend professional learning facilitated by Jared Cooney Horvath on deepening our understanding of the process of learning. </w:t>
            </w:r>
            <w:r>
              <w:rPr>
                <w:rFonts w:eastAsia="Arial"/>
                <w:sz w:val="22"/>
              </w:rPr>
              <w:br/>
              <w:t>Review the Student Attitude to School Survey questions on perseverance.</w:t>
            </w:r>
            <w:r>
              <w:rPr>
                <w:rFonts w:eastAsia="Arial"/>
                <w:sz w:val="22"/>
              </w:rPr>
              <w:br/>
              <w:t>Use the Student Voice and Agency anchor charts to explicitly teach students strategies to persevere.</w:t>
            </w:r>
          </w:p>
        </w:tc>
        <w:tc>
          <w:tcPr>
            <w:tcW w:w="5103" w:type="dxa"/>
          </w:tcPr>
          <w:p w14:paraId="6872F73D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1D83D52D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Learning specialist(s)</w:t>
            </w:r>
          </w:p>
          <w:p w14:paraId="6595D60B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  <w:p w14:paraId="404154C3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  <w:p w14:paraId="255DA4D8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Teacher(s)</w:t>
            </w:r>
          </w:p>
        </w:tc>
      </w:tr>
      <w:tr w:rsidR="006549CD" w14:paraId="2ADB557F" w14:textId="77777777" w:rsidTr="00F0634E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05C7ED5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02" w:type="dxa"/>
            <w:gridSpan w:val="2"/>
            <w:shd w:val="clear" w:color="auto" w:fill="D9D9D9" w:themeFill="background1" w:themeFillShade="D9"/>
          </w:tcPr>
          <w:p w14:paraId="777A5352" w14:textId="77777777" w:rsidR="00DA66F6" w:rsidRPr="0033147D" w:rsidRDefault="00DA66F6" w:rsidP="00FE3D5C">
            <w:pPr>
              <w:pStyle w:val="ESBodyText"/>
              <w:spacing w:after="0"/>
              <w:rPr>
                <w:rFonts w:eastAsia="Arial"/>
                <w:sz w:val="22"/>
                <w:lang w:val="en-AU"/>
              </w:rPr>
            </w:pPr>
            <w:r w:rsidRPr="0033147D">
              <w:rPr>
                <w:rFonts w:eastAsia="Arial"/>
                <w:sz w:val="22"/>
              </w:rPr>
              <w:t>Strengthen students’ wellbeing.</w:t>
            </w:r>
          </w:p>
        </w:tc>
      </w:tr>
      <w:tr w:rsidR="006549CD" w14:paraId="207F5128" w14:textId="77777777" w:rsidTr="00400BA1">
        <w:trPr>
          <w:trHeight w:val="15"/>
        </w:trPr>
        <w:tc>
          <w:tcPr>
            <w:tcW w:w="3119" w:type="dxa"/>
            <w:shd w:val="clear" w:color="auto" w:fill="D1ABD0"/>
          </w:tcPr>
          <w:p w14:paraId="3B6BAFCB" w14:textId="77777777" w:rsidR="00DA66F6" w:rsidRPr="002F40EA" w:rsidRDefault="00DA66F6" w:rsidP="00171379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rFonts w:eastAsia="Arial"/>
                <w:sz w:val="22"/>
                <w:szCs w:val="24"/>
                <w:lang w:val="en-AU"/>
              </w:rPr>
              <w:t>KIS 1.c</w:t>
            </w:r>
          </w:p>
        </w:tc>
        <w:tc>
          <w:tcPr>
            <w:tcW w:w="11902" w:type="dxa"/>
            <w:gridSpan w:val="2"/>
            <w:shd w:val="clear" w:color="auto" w:fill="D1ABD0"/>
          </w:tcPr>
          <w:p w14:paraId="2D43E39A" w14:textId="77777777" w:rsidR="00DA66F6" w:rsidRPr="0033147D" w:rsidRDefault="00DA66F6" w:rsidP="00FE3D5C">
            <w:pPr>
              <w:pStyle w:val="ESBodyText"/>
              <w:spacing w:after="0"/>
              <w:rPr>
                <w:b/>
                <w:bCs/>
                <w:lang w:val="en-AU"/>
              </w:rPr>
            </w:pPr>
            <w:r>
              <w:rPr>
                <w:rFonts w:eastAsia="Arial"/>
                <w:sz w:val="22"/>
              </w:rPr>
              <w:t>Embed procedures, protocols, and systems to identify students at risk of disengagement and implement a tiered response to ensure all students are connected to learning.</w:t>
            </w:r>
          </w:p>
        </w:tc>
      </w:tr>
      <w:tr w:rsidR="006549CD" w14:paraId="1CF82667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4F592693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 w:rsidRPr="002F40EA">
              <w:rPr>
                <w:b/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02" w:type="dxa"/>
            <w:gridSpan w:val="2"/>
          </w:tcPr>
          <w:p w14:paraId="2A29B457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Build staff capabilities to implement a multi-tiered approach to inclusion, wellbeing and engagement.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6549CD" w14:paraId="6B578768" w14:textId="77777777" w:rsidTr="00F0634E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76E60B1E" w14:textId="77777777" w:rsidR="00DA66F6" w:rsidRPr="002F40EA" w:rsidRDefault="00DA66F6" w:rsidP="00AF3BC2">
            <w:pPr>
              <w:pStyle w:val="ESBodyText"/>
              <w:spacing w:after="0"/>
              <w:rPr>
                <w:b/>
                <w:sz w:val="20"/>
                <w:szCs w:val="24"/>
                <w:lang w:val="en-AU"/>
              </w:rPr>
            </w:pPr>
            <w:r>
              <w:rPr>
                <w:b/>
                <w:sz w:val="20"/>
                <w:szCs w:val="24"/>
                <w:lang w:val="en-AU"/>
              </w:rPr>
              <w:t>Evidence of change</w:t>
            </w:r>
          </w:p>
        </w:tc>
        <w:tc>
          <w:tcPr>
            <w:tcW w:w="11902" w:type="dxa"/>
            <w:gridSpan w:val="2"/>
          </w:tcPr>
          <w:p w14:paraId="72456599" w14:textId="77777777" w:rsidR="00DA66F6" w:rsidRPr="0033147D" w:rsidRDefault="00DA66F6" w:rsidP="00AF3BC2">
            <w:pPr>
              <w:pStyle w:val="ESBodyText"/>
              <w:spacing w:after="0"/>
              <w:rPr>
                <w:lang w:val="en-AU"/>
              </w:rPr>
            </w:pPr>
            <w:r>
              <w:rPr>
                <w:rFonts w:eastAsia="Arial"/>
                <w:sz w:val="22"/>
              </w:rPr>
              <w:t>- Professional learning for teaching staff includes a clear and detailed explanation of the school’s inclusion approach.</w:t>
            </w:r>
            <w:r>
              <w:rPr>
                <w:rFonts w:eastAsia="Arial"/>
                <w:sz w:val="22"/>
              </w:rPr>
              <w:br/>
              <w:t>- Teachers use common language and strategies for managing behaviour, promoting wellbeing, and supporting inclusion.</w:t>
            </w:r>
            <w:r>
              <w:rPr>
                <w:rFonts w:eastAsia="Arial"/>
                <w:sz w:val="22"/>
              </w:rPr>
              <w:br/>
              <w:t>- Attitudes to School Survey results for the ‘sense of confidence’ domain have improved from the 2025 baseline data</w:t>
            </w:r>
            <w:r>
              <w:rPr>
                <w:rFonts w:eastAsia="Arial"/>
                <w:sz w:val="22"/>
              </w:rPr>
              <w:br/>
              <w:t>- Individual Education Plans (IEPs) and Student Learning Contracts (SLCs) have been reviewed and updated, with students receiving the documented supports.</w:t>
            </w:r>
          </w:p>
        </w:tc>
      </w:tr>
      <w:tr w:rsidR="006549CD" w14:paraId="17E2E807" w14:textId="77777777" w:rsidTr="00400BA1">
        <w:trPr>
          <w:trHeight w:val="264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17F27F1E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>
              <w:rPr>
                <w:szCs w:val="24"/>
                <w:lang w:val="en-AU"/>
              </w:rPr>
              <w:t>Tasks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D036FC0" w14:textId="77777777" w:rsidR="00DA66F6" w:rsidRPr="002F40EA" w:rsidRDefault="00DA66F6" w:rsidP="00FA4D4A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2F40EA">
              <w:rPr>
                <w:szCs w:val="24"/>
                <w:lang w:val="en-AU"/>
              </w:rPr>
              <w:t>People responsible</w:t>
            </w:r>
          </w:p>
        </w:tc>
      </w:tr>
      <w:tr w:rsidR="006549CD" w14:paraId="7B486EA2" w14:textId="77777777" w:rsidTr="00F0634E">
        <w:trPr>
          <w:trHeight w:val="20"/>
        </w:trPr>
        <w:tc>
          <w:tcPr>
            <w:tcW w:w="9918" w:type="dxa"/>
            <w:gridSpan w:val="2"/>
          </w:tcPr>
          <w:p w14:paraId="76EC0EC2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The wellbeing team facilitates professional learning on implementing multi-tiered systems of support, including trauma-informed practices and the implementation of Individual Education Plans and Student Learning Plans.</w:t>
            </w:r>
            <w:r>
              <w:rPr>
                <w:rFonts w:eastAsia="Arial"/>
                <w:sz w:val="22"/>
              </w:rPr>
              <w:br/>
              <w:t xml:space="preserve">Review the effectiveness of current Tier two and three supports to identify gaps and or make adjustments as required. </w:t>
            </w:r>
            <w:r>
              <w:rPr>
                <w:rFonts w:eastAsia="Arial"/>
                <w:sz w:val="22"/>
              </w:rPr>
              <w:br/>
              <w:t>Review and refine the school’s approach to school-wide positive behaviour support.</w:t>
            </w:r>
            <w:r>
              <w:rPr>
                <w:rFonts w:eastAsia="Arial"/>
                <w:sz w:val="22"/>
              </w:rPr>
              <w:br/>
              <w:t>Review and refine documentation of processes for identifying and supporting students who require Tier two or three support, and ensure this information is communicated to teachers.</w:t>
            </w:r>
            <w:r>
              <w:rPr>
                <w:rFonts w:eastAsia="Arial"/>
                <w:sz w:val="22"/>
              </w:rPr>
              <w:br/>
              <w:t xml:space="preserve">Review and update Individual Education Plans (IEPs) to include engagement goals, as needed. </w:t>
            </w:r>
          </w:p>
        </w:tc>
        <w:tc>
          <w:tcPr>
            <w:tcW w:w="5103" w:type="dxa"/>
          </w:tcPr>
          <w:p w14:paraId="58FF2DD9" w14:textId="77777777" w:rsidR="00DA66F6" w:rsidRPr="002F40EA" w:rsidRDefault="00DA66F6" w:rsidP="00AF3BC2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Assistant principal</w:t>
            </w:r>
          </w:p>
          <w:p w14:paraId="508EC3F5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Learning specialist(s)</w:t>
            </w:r>
          </w:p>
          <w:p w14:paraId="10007DF3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Literacy improvement teacher</w:t>
            </w:r>
          </w:p>
          <w:p w14:paraId="7DEC94FC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Principal</w:t>
            </w:r>
          </w:p>
          <w:p w14:paraId="781C9336" w14:textId="77777777" w:rsidR="006549CD" w:rsidRDefault="00DA66F6"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eastAsia="Arial"/>
                <w:color w:val="000000"/>
                <w:sz w:val="22"/>
              </w:rPr>
              <w:t xml:space="preserve"> School improvement team</w:t>
            </w:r>
          </w:p>
        </w:tc>
      </w:tr>
    </w:tbl>
    <w:p w14:paraId="24C92BF9" w14:textId="77777777" w:rsidR="00DA66F6" w:rsidRPr="002F40EA" w:rsidRDefault="00DA66F6" w:rsidP="006C7A56">
      <w:pPr>
        <w:pStyle w:val="ESBodyText"/>
        <w:rPr>
          <w:lang w:val="en-AU"/>
        </w:rPr>
      </w:pPr>
    </w:p>
    <w:p w14:paraId="54A8B151" w14:textId="77777777" w:rsidR="006549CD" w:rsidRDefault="006549CD"/>
    <w:p w14:paraId="66A763AA" w14:textId="77777777" w:rsidR="006549CD" w:rsidRDefault="006549CD"/>
    <w:sectPr w:rsidR="006549CD" w:rsidSect="00E36291">
      <w:headerReference w:type="even" r:id="rId21"/>
      <w:headerReference w:type="default" r:id="rId22"/>
      <w:footerReference w:type="default" r:id="rId23"/>
      <w:headerReference w:type="first" r:id="rId24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02F6" w14:textId="77777777" w:rsidR="00DA66F6" w:rsidRDefault="00DA66F6">
      <w:pPr>
        <w:spacing w:after="0" w:line="240" w:lineRule="auto"/>
      </w:pPr>
      <w:r>
        <w:separator/>
      </w:r>
    </w:p>
  </w:endnote>
  <w:endnote w:type="continuationSeparator" w:id="0">
    <w:p w14:paraId="52057BE5" w14:textId="77777777" w:rsidR="00DA66F6" w:rsidRDefault="00DA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B1DC" w14:textId="77777777" w:rsidR="006549CD" w:rsidRPr="00793BFC" w:rsidRDefault="00DA66F6" w:rsidP="00793BFC">
    <w:pPr>
      <w:pStyle w:val="ESSubheading1"/>
      <w:ind w:firstLine="567"/>
      <w:rPr>
        <w:sz w:val="15"/>
        <w:szCs w:val="15"/>
      </w:rPr>
    </w:pPr>
    <w:r w:rsidRPr="00793BFC">
      <w:rPr>
        <w:noProof/>
        <w:sz w:val="15"/>
        <w:szCs w:val="15"/>
      </w:rPr>
      <w:t>Heatherhill Primary School (4802) - 2026 - AIP</w:t>
    </w:r>
    <w:r w:rsidRPr="00793BFC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67456" behindDoc="1" locked="0" layoutInCell="1" allowOverlap="1" wp14:anchorId="1050E306" wp14:editId="0A220665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8384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4285B" w14:textId="77777777" w:rsidR="006549CD" w:rsidRPr="007B2B29" w:rsidRDefault="00DA66F6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1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8B2E" w14:textId="77777777" w:rsidR="00DA66F6" w:rsidRPr="00B4442D" w:rsidRDefault="00DA66F6" w:rsidP="00DD6247">
    <w:pPr>
      <w:pStyle w:val="ESSubheading1"/>
      <w:ind w:firstLine="567"/>
      <w:rPr>
        <w:sz w:val="15"/>
        <w:szCs w:val="15"/>
      </w:rPr>
    </w:pPr>
    <w:r w:rsidRPr="00B4442D">
      <w:rPr>
        <w:noProof/>
        <w:sz w:val="15"/>
        <w:szCs w:val="15"/>
      </w:rPr>
      <w:t>Heatherhill Primary School (4802) - 2026 - AIP</w:t>
    </w:r>
    <w:r w:rsidRPr="00B4442D">
      <w:rPr>
        <w:noProof/>
        <w:sz w:val="15"/>
        <w:szCs w:val="15"/>
        <w:lang w:val="en-AU" w:eastAsia="en-AU"/>
      </w:rPr>
      <w:drawing>
        <wp:anchor distT="0" distB="0" distL="114300" distR="114300" simplePos="0" relativeHeight="251673600" behindDoc="1" locked="0" layoutInCell="1" allowOverlap="1" wp14:anchorId="1F08ACA8" wp14:editId="2AD46400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981057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C5ED2" w14:textId="77777777" w:rsidR="00DA66F6" w:rsidRPr="007B2B29" w:rsidRDefault="00DA66F6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7755" w14:textId="77777777" w:rsidR="00DA66F6" w:rsidRPr="00006534" w:rsidRDefault="00DA66F6" w:rsidP="0091722C">
    <w:pPr>
      <w:pStyle w:val="ESSubheading1"/>
      <w:ind w:firstLine="567"/>
    </w:pPr>
    <w:r w:rsidRPr="0091722C">
      <w:rPr>
        <w:noProof/>
        <w:sz w:val="15"/>
        <w:szCs w:val="15"/>
      </w:rPr>
      <w:t>Heatherhill Primary School (4802) - 2026 - AIP</w:t>
    </w:r>
    <w:r w:rsidRPr="000C104E">
      <w:rPr>
        <w:noProof/>
        <w:lang w:val="en-AU" w:eastAsia="en-AU"/>
      </w:rPr>
      <w:drawing>
        <wp:anchor distT="0" distB="0" distL="114300" distR="114300" simplePos="0" relativeHeight="251675648" behindDoc="1" locked="0" layoutInCell="1" allowOverlap="1" wp14:anchorId="4B076E61" wp14:editId="772265F6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880744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5EC19" w14:textId="77777777" w:rsidR="00DA66F6" w:rsidRPr="007B2B29" w:rsidRDefault="00DA66F6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A548" w14:textId="77777777" w:rsidR="00DA66F6" w:rsidRDefault="00DA66F6">
      <w:pPr>
        <w:spacing w:after="0" w:line="240" w:lineRule="auto"/>
      </w:pPr>
      <w:r>
        <w:separator/>
      </w:r>
    </w:p>
  </w:footnote>
  <w:footnote w:type="continuationSeparator" w:id="0">
    <w:p w14:paraId="402EDDF4" w14:textId="77777777" w:rsidR="00DA66F6" w:rsidRDefault="00DA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94F6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54A54E" wp14:editId="675689C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114B5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233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250" w14:textId="77777777" w:rsidR="006549CD" w:rsidRPr="003E29B5" w:rsidRDefault="00DA66F6" w:rsidP="008766A4">
    <w:r w:rsidRPr="000C104E"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7DF0C5CC" wp14:editId="18E124E3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1B2CD1" w14:textId="77777777" w:rsidR="00DA66F6" w:rsidRDefault="00DA66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9CFB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5C006B" wp14:editId="2288FD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BD271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9021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BE319" wp14:editId="37C43E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76D55B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848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8D0F" w14:textId="77777777" w:rsidR="00DA66F6" w:rsidRDefault="00DA66F6">
    <w:r w:rsidRPr="000C104E">
      <w:rPr>
        <w:noProof/>
        <w:lang w:val="en-AU" w:eastAsia="en-AU"/>
      </w:rPr>
      <w:drawing>
        <wp:anchor distT="0" distB="0" distL="114300" distR="114300" simplePos="0" relativeHeight="251671552" behindDoc="1" locked="0" layoutInCell="1" allowOverlap="1" wp14:anchorId="7E96F280" wp14:editId="7FE2133B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80E7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0D2BF8" wp14:editId="615C86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29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186D8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33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21DA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DEE6B" wp14:editId="210043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9D302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3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257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2281" w14:textId="77777777" w:rsidR="00DA66F6" w:rsidRPr="003E29B5" w:rsidRDefault="00DA66F6" w:rsidP="008766A4">
    <w:r w:rsidRPr="000C104E">
      <w:rPr>
        <w:noProof/>
        <w:lang w:val="en-AU" w:eastAsia="en-AU"/>
      </w:rPr>
      <w:drawing>
        <wp:anchor distT="0" distB="0" distL="114300" distR="114300" simplePos="0" relativeHeight="251674624" behindDoc="1" locked="0" layoutInCell="1" allowOverlap="1" wp14:anchorId="22333401" wp14:editId="215EC064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446722" w14:textId="77777777" w:rsidR="00DA66F6" w:rsidRDefault="00DA66F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A7DB" w14:textId="77777777" w:rsidR="00DA66F6" w:rsidRDefault="00DA66F6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AE8FB1" wp14:editId="2CCB66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34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6B498" w14:textId="77777777" w:rsidR="00DA66F6" w:rsidRDefault="00DA66F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950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31C01F18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21C4E7FA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0D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4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7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66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C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68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FCB6DE1"/>
    <w:multiLevelType w:val="hybridMultilevel"/>
    <w:tmpl w:val="7FCB6DE1"/>
    <w:lvl w:ilvl="0" w:tplc="B450E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98A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E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26AB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B296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6A9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5C2B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C6C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103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CB6DE2"/>
    <w:multiLevelType w:val="hybridMultilevel"/>
    <w:tmpl w:val="7FCB6DE2"/>
    <w:lvl w:ilvl="0" w:tplc="1EBED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3E46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1864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9E8E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244C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3EFF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A28C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FA50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60CB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CB6DE3"/>
    <w:multiLevelType w:val="hybridMultilevel"/>
    <w:tmpl w:val="7FCB6DE3"/>
    <w:lvl w:ilvl="0" w:tplc="AAC4C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30E2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AA25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AE1E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3EB5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603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C5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7C88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A6F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CB6DE4"/>
    <w:multiLevelType w:val="hybridMultilevel"/>
    <w:tmpl w:val="7FCB6DE4"/>
    <w:lvl w:ilvl="0" w:tplc="24206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A85E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820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7A2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588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0C7A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2EB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88B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04CA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7FCB6DE5"/>
    <w:multiLevelType w:val="hybridMultilevel"/>
    <w:tmpl w:val="7FCB6DE5"/>
    <w:lvl w:ilvl="0" w:tplc="BEFED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1E1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8448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1019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3EF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BCC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788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167F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E69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766222104">
    <w:abstractNumId w:val="10"/>
  </w:num>
  <w:num w:numId="2" w16cid:durableId="658847118">
    <w:abstractNumId w:val="8"/>
  </w:num>
  <w:num w:numId="3" w16cid:durableId="1150050891">
    <w:abstractNumId w:val="7"/>
  </w:num>
  <w:num w:numId="4" w16cid:durableId="1108164111">
    <w:abstractNumId w:val="6"/>
  </w:num>
  <w:num w:numId="5" w16cid:durableId="37357865">
    <w:abstractNumId w:val="5"/>
  </w:num>
  <w:num w:numId="6" w16cid:durableId="1724061348">
    <w:abstractNumId w:val="9"/>
  </w:num>
  <w:num w:numId="7" w16cid:durableId="284896461">
    <w:abstractNumId w:val="4"/>
  </w:num>
  <w:num w:numId="8" w16cid:durableId="582760929">
    <w:abstractNumId w:val="3"/>
  </w:num>
  <w:num w:numId="9" w16cid:durableId="1749811470">
    <w:abstractNumId w:val="2"/>
  </w:num>
  <w:num w:numId="10" w16cid:durableId="716125072">
    <w:abstractNumId w:val="1"/>
  </w:num>
  <w:num w:numId="11" w16cid:durableId="1826966328">
    <w:abstractNumId w:val="0"/>
  </w:num>
  <w:num w:numId="12" w16cid:durableId="453721716">
    <w:abstractNumId w:val="11"/>
  </w:num>
  <w:num w:numId="13" w16cid:durableId="594437003">
    <w:abstractNumId w:val="16"/>
  </w:num>
  <w:num w:numId="14" w16cid:durableId="570888595">
    <w:abstractNumId w:val="14"/>
  </w:num>
  <w:num w:numId="15" w16cid:durableId="645283293">
    <w:abstractNumId w:val="15"/>
  </w:num>
  <w:num w:numId="16" w16cid:durableId="46684526">
    <w:abstractNumId w:val="12"/>
  </w:num>
  <w:num w:numId="17" w16cid:durableId="1399396147">
    <w:abstractNumId w:val="13"/>
  </w:num>
  <w:num w:numId="18" w16cid:durableId="428428629">
    <w:abstractNumId w:val="17"/>
  </w:num>
  <w:num w:numId="19" w16cid:durableId="237790883">
    <w:abstractNumId w:val="18"/>
  </w:num>
  <w:num w:numId="20" w16cid:durableId="765807537">
    <w:abstractNumId w:val="19"/>
  </w:num>
  <w:num w:numId="21" w16cid:durableId="1496258049">
    <w:abstractNumId w:val="20"/>
  </w:num>
  <w:num w:numId="22" w16cid:durableId="406342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CD"/>
    <w:rsid w:val="006549CD"/>
    <w:rsid w:val="00993DB9"/>
    <w:rsid w:val="009C444A"/>
    <w:rsid w:val="00DA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47F8"/>
  <w15:docId w15:val="{C0BBEC0A-A269-4375-AA8F-BD9C2E04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8216CCA-54A4-4E61-8ED1-8F589480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Louise Mclelland</cp:lastModifiedBy>
  <cp:revision>2</cp:revision>
  <dcterms:created xsi:type="dcterms:W3CDTF">2026-06-02T04:18:00Z</dcterms:created>
  <dcterms:modified xsi:type="dcterms:W3CDTF">2026-06-02T04:18:00Z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